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242F6D" w:rsidRPr="009E1EAE">
        <w:tc>
          <w:tcPr>
            <w:tcW w:w="4247" w:type="dxa"/>
            <w:vAlign w:val="center"/>
          </w:tcPr>
          <w:p w:rsidR="00242F6D" w:rsidRPr="009E1EAE" w:rsidRDefault="0098663E" w:rsidP="0098663E">
            <w:pPr>
              <w:jc w:val="center"/>
              <w:rPr>
                <w:rFonts w:ascii="Gill Sans MT" w:eastAsia="Gill Sans" w:hAnsi="Gill Sans MT" w:cs="Gill Sans"/>
                <w:b/>
              </w:rPr>
            </w:pPr>
            <w:bookmarkStart w:id="0" w:name="_GoBack"/>
            <w:bookmarkEnd w:id="0"/>
            <w:r>
              <w:rPr>
                <w:rFonts w:ascii="Gill Sans MT" w:eastAsia="Gill Sans" w:hAnsi="Gill Sans MT" w:cs="Gill Sans"/>
                <w:b/>
              </w:rPr>
              <w:t>ERA4HEALTH</w:t>
            </w:r>
          </w:p>
        </w:tc>
        <w:tc>
          <w:tcPr>
            <w:tcW w:w="4247" w:type="dxa"/>
            <w:vAlign w:val="center"/>
          </w:tcPr>
          <w:p w:rsidR="00242F6D" w:rsidRPr="009E1EAE" w:rsidRDefault="0098663E">
            <w:pPr>
              <w:jc w:val="center"/>
              <w:rPr>
                <w:rFonts w:ascii="Gill Sans MT" w:eastAsia="Gill Sans" w:hAnsi="Gill Sans MT" w:cs="Gill Sans"/>
                <w:b/>
                <w:sz w:val="22"/>
                <w:szCs w:val="22"/>
              </w:rPr>
            </w:pPr>
            <w:r w:rsidRPr="0098663E">
              <w:rPr>
                <w:rFonts w:ascii="Gill Sans MT" w:eastAsia="Gill Sans" w:hAnsi="Gill Sans MT" w:cs="Gill Sans"/>
                <w:b/>
                <w:noProof/>
                <w:sz w:val="22"/>
                <w:szCs w:val="22"/>
              </w:rPr>
              <w:drawing>
                <wp:inline distT="0" distB="0" distL="0" distR="0">
                  <wp:extent cx="1312545" cy="536817"/>
                  <wp:effectExtent l="0" t="0" r="190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367" cy="54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F6D" w:rsidRPr="009E1EAE">
        <w:trPr>
          <w:trHeight w:val="288"/>
        </w:trPr>
        <w:tc>
          <w:tcPr>
            <w:tcW w:w="8494" w:type="dxa"/>
            <w:gridSpan w:val="2"/>
            <w:vAlign w:val="center"/>
          </w:tcPr>
          <w:p w:rsidR="00F203A4" w:rsidRDefault="009A1705" w:rsidP="00F203A4">
            <w:pPr>
              <w:spacing w:before="240"/>
              <w:jc w:val="center"/>
              <w:rPr>
                <w:rFonts w:ascii="Gill Sans MT" w:eastAsia="Gill Sans" w:hAnsi="Gill Sans MT" w:cs="Gill Sans"/>
                <w:sz w:val="28"/>
                <w:szCs w:val="28"/>
              </w:rPr>
            </w:pPr>
            <w:r>
              <w:rPr>
                <w:rFonts w:ascii="Gill Sans MT" w:eastAsia="Gill Sans" w:hAnsi="Gill Sans MT" w:cs="Gill Sans"/>
                <w:sz w:val="28"/>
                <w:szCs w:val="28"/>
              </w:rPr>
              <w:t xml:space="preserve">Anuncio Preliminar de la </w:t>
            </w:r>
            <w:r w:rsidR="005245C8" w:rsidRPr="009E1EAE">
              <w:rPr>
                <w:rFonts w:ascii="Gill Sans MT" w:eastAsia="Gill Sans" w:hAnsi="Gill Sans MT" w:cs="Gill Sans"/>
                <w:sz w:val="28"/>
                <w:szCs w:val="28"/>
              </w:rPr>
              <w:t>Convocatoria de 202</w:t>
            </w:r>
            <w:r w:rsidR="00AB27FA">
              <w:rPr>
                <w:rFonts w:ascii="Gill Sans MT" w:eastAsia="Gill Sans" w:hAnsi="Gill Sans MT" w:cs="Gill Sans"/>
                <w:sz w:val="28"/>
                <w:szCs w:val="28"/>
              </w:rPr>
              <w:t>6</w:t>
            </w:r>
          </w:p>
          <w:p w:rsidR="005245C8" w:rsidRPr="009E1EAE" w:rsidRDefault="00AB27FA" w:rsidP="00911EE9">
            <w:pPr>
              <w:jc w:val="center"/>
              <w:rPr>
                <w:rFonts w:ascii="Gill Sans MT" w:eastAsia="Gill Sans" w:hAnsi="Gill Sans MT" w:cs="Gill Sans"/>
                <w:sz w:val="28"/>
                <w:szCs w:val="28"/>
              </w:rPr>
            </w:pPr>
            <w:r>
              <w:rPr>
                <w:rFonts w:ascii="Gill Sans MT" w:eastAsia="Gill Sans" w:hAnsi="Gill Sans MT" w:cs="Gill Sans"/>
                <w:b/>
                <w:sz w:val="28"/>
                <w:szCs w:val="28"/>
              </w:rPr>
              <w:t>E</w:t>
            </w:r>
            <w:r w:rsidRPr="00AB27FA">
              <w:rPr>
                <w:rFonts w:ascii="Gill Sans MT" w:eastAsia="Gill Sans" w:hAnsi="Gill Sans MT" w:cs="Gill Sans"/>
                <w:b/>
                <w:sz w:val="28"/>
                <w:szCs w:val="28"/>
              </w:rPr>
              <w:t xml:space="preserve">nsayos clínicos </w:t>
            </w:r>
            <w:proofErr w:type="spellStart"/>
            <w:r w:rsidRPr="00AB27FA">
              <w:rPr>
                <w:rFonts w:ascii="Gill Sans MT" w:eastAsia="Gill Sans" w:hAnsi="Gill Sans MT" w:cs="Gill Sans"/>
                <w:b/>
                <w:sz w:val="28"/>
                <w:szCs w:val="28"/>
              </w:rPr>
              <w:t>multipaís</w:t>
            </w:r>
            <w:proofErr w:type="spellEnd"/>
            <w:r w:rsidRPr="00AB27FA">
              <w:rPr>
                <w:rFonts w:ascii="Gill Sans MT" w:eastAsia="Gill Sans" w:hAnsi="Gill Sans MT" w:cs="Gill Sans"/>
                <w:b/>
                <w:sz w:val="28"/>
                <w:szCs w:val="28"/>
              </w:rPr>
              <w:t xml:space="preserve"> iniciados por investigadores en enfermedades cardiovasculares, autoinmunes y metabólicas (Trials4Health</w:t>
            </w:r>
            <w:r>
              <w:rPr>
                <w:rFonts w:ascii="Gill Sans MT" w:eastAsia="Gill Sans" w:hAnsi="Gill Sans MT" w:cs="Gill Sans"/>
                <w:b/>
                <w:sz w:val="28"/>
                <w:szCs w:val="28"/>
              </w:rPr>
              <w:t xml:space="preserve"> 2026</w:t>
            </w:r>
            <w:r w:rsidRPr="00AB27FA">
              <w:rPr>
                <w:rFonts w:ascii="Gill Sans MT" w:eastAsia="Gill Sans" w:hAnsi="Gill Sans MT" w:cs="Gill Sans"/>
                <w:b/>
                <w:sz w:val="28"/>
                <w:szCs w:val="28"/>
              </w:rPr>
              <w:t>)</w:t>
            </w:r>
          </w:p>
        </w:tc>
      </w:tr>
      <w:tr w:rsidR="00242F6D" w:rsidRPr="009E1EAE">
        <w:trPr>
          <w:trHeight w:val="288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2F6D" w:rsidRPr="009E1EAE" w:rsidRDefault="005245C8" w:rsidP="00AB27FA">
            <w:pPr>
              <w:widowControl w:val="0"/>
              <w:rPr>
                <w:rFonts w:ascii="Gill Sans MT" w:eastAsia="Gill Sans" w:hAnsi="Gill Sans MT" w:cs="Gill Sans"/>
                <w:sz w:val="22"/>
                <w:szCs w:val="22"/>
              </w:rPr>
            </w:pPr>
            <w:r w:rsidRPr="009E1EAE">
              <w:rPr>
                <w:rFonts w:ascii="Gill Sans MT" w:eastAsia="Gill Sans" w:hAnsi="Gill Sans MT" w:cs="Gill Sans"/>
                <w:b/>
                <w:sz w:val="22"/>
                <w:szCs w:val="22"/>
              </w:rPr>
              <w:t xml:space="preserve">Apertura: </w:t>
            </w:r>
            <w:r w:rsidR="00AB27FA">
              <w:rPr>
                <w:rFonts w:ascii="Gill Sans MT" w:eastAsia="Gill Sans" w:hAnsi="Gill Sans MT" w:cs="Gill Sans"/>
                <w:sz w:val="22"/>
                <w:szCs w:val="22"/>
              </w:rPr>
              <w:t>6</w:t>
            </w:r>
            <w:r w:rsidR="00AA575B" w:rsidRPr="00AA575B">
              <w:rPr>
                <w:rFonts w:ascii="Gill Sans MT" w:eastAsia="Gill Sans" w:hAnsi="Gill Sans MT" w:cs="Gill Sans"/>
                <w:sz w:val="22"/>
                <w:szCs w:val="22"/>
              </w:rPr>
              <w:t xml:space="preserve"> de </w:t>
            </w:r>
            <w:r w:rsidR="000A21D8">
              <w:rPr>
                <w:rFonts w:ascii="Gill Sans MT" w:eastAsia="Gill Sans" w:hAnsi="Gill Sans MT" w:cs="Gill Sans"/>
                <w:sz w:val="22"/>
                <w:szCs w:val="22"/>
              </w:rPr>
              <w:t>noviembre</w:t>
            </w:r>
            <w:r w:rsidRPr="00AA575B">
              <w:rPr>
                <w:rFonts w:ascii="Gill Sans MT" w:eastAsia="Gill Sans" w:hAnsi="Gill Sans MT" w:cs="Gill Sans"/>
                <w:sz w:val="22"/>
                <w:szCs w:val="22"/>
              </w:rPr>
              <w:t xml:space="preserve"> de 202</w:t>
            </w:r>
            <w:r w:rsidR="00AB27FA">
              <w:rPr>
                <w:rFonts w:ascii="Gill Sans MT" w:eastAsia="Gill Sans" w:hAnsi="Gill Sans MT" w:cs="Gill Sans"/>
                <w:sz w:val="22"/>
                <w:szCs w:val="22"/>
              </w:rPr>
              <w:t>5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2F6D" w:rsidRPr="009E1EAE" w:rsidRDefault="005245C8" w:rsidP="00AB27FA">
            <w:pPr>
              <w:widowControl w:val="0"/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  <w:u w:val="single"/>
              </w:rPr>
            </w:pPr>
            <w:r w:rsidRPr="009E1EAE">
              <w:rPr>
                <w:rFonts w:ascii="Gill Sans MT" w:eastAsia="Gill Sans" w:hAnsi="Gill Sans MT" w:cs="Gill Sans"/>
                <w:color w:val="5B0F00"/>
                <w:sz w:val="22"/>
                <w:szCs w:val="22"/>
              </w:rPr>
              <w:t>Fecha de cierre</w:t>
            </w:r>
            <w:r w:rsidR="00911EE9">
              <w:rPr>
                <w:rFonts w:ascii="Gill Sans MT" w:eastAsia="Gill Sans" w:hAnsi="Gill Sans MT" w:cs="Gill Sans"/>
                <w:color w:val="5B0F00"/>
                <w:sz w:val="22"/>
                <w:szCs w:val="22"/>
              </w:rPr>
              <w:t xml:space="preserve"> de la primera fase</w:t>
            </w:r>
            <w:r w:rsidRPr="009E1EAE">
              <w:rPr>
                <w:rFonts w:ascii="Gill Sans MT" w:eastAsia="Gill Sans" w:hAnsi="Gill Sans MT" w:cs="Gill Sans"/>
                <w:color w:val="5B0F00"/>
                <w:sz w:val="22"/>
                <w:szCs w:val="22"/>
              </w:rPr>
              <w:t>:</w:t>
            </w:r>
            <w:r w:rsidRPr="009E1EAE"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</w:rPr>
              <w:t xml:space="preserve"> </w:t>
            </w:r>
            <w:r w:rsidR="00911EE9"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  <w:u w:val="single"/>
              </w:rPr>
              <w:t>2</w:t>
            </w:r>
            <w:r w:rsidR="00AB27FA"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  <w:u w:val="single"/>
              </w:rPr>
              <w:t>7</w:t>
            </w:r>
            <w:r w:rsidR="00993B51"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  <w:u w:val="single"/>
              </w:rPr>
              <w:t xml:space="preserve"> </w:t>
            </w:r>
            <w:r w:rsidRPr="009E1EAE"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  <w:u w:val="single"/>
              </w:rPr>
              <w:t xml:space="preserve">de </w:t>
            </w:r>
            <w:r w:rsidR="000A21D8"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  <w:u w:val="single"/>
              </w:rPr>
              <w:t>enero</w:t>
            </w:r>
            <w:r w:rsidRPr="009E1EAE"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  <w:u w:val="single"/>
              </w:rPr>
              <w:t xml:space="preserve"> de 202</w:t>
            </w:r>
            <w:r w:rsidR="00AB27FA"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  <w:u w:val="single"/>
              </w:rPr>
              <w:t>6</w:t>
            </w:r>
          </w:p>
        </w:tc>
      </w:tr>
      <w:tr w:rsidR="00242F6D" w:rsidRPr="009E1EAE">
        <w:trPr>
          <w:trHeight w:val="288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2F6D" w:rsidRPr="009E1EAE" w:rsidRDefault="005245C8" w:rsidP="00FD0717">
            <w:pPr>
              <w:widowControl w:val="0"/>
              <w:rPr>
                <w:rFonts w:ascii="Gill Sans MT" w:eastAsia="Gill Sans" w:hAnsi="Gill Sans MT" w:cs="Gill Sans"/>
                <w:sz w:val="22"/>
                <w:szCs w:val="22"/>
              </w:rPr>
            </w:pPr>
            <w:r w:rsidRPr="009E1EAE">
              <w:rPr>
                <w:rFonts w:ascii="Gill Sans MT" w:eastAsia="Gill Sans" w:hAnsi="Gill Sans MT" w:cs="Gill Sans"/>
                <w:b/>
                <w:sz w:val="22"/>
                <w:szCs w:val="22"/>
              </w:rPr>
              <w:t xml:space="preserve">Tipo de actuación: </w:t>
            </w:r>
            <w:proofErr w:type="spellStart"/>
            <w:r w:rsidR="0098663E">
              <w:rPr>
                <w:rFonts w:ascii="Gill Sans MT" w:eastAsia="Gill Sans" w:hAnsi="Gill Sans MT" w:cs="Gill Sans"/>
                <w:sz w:val="22"/>
                <w:szCs w:val="22"/>
              </w:rPr>
              <w:t>Partenariado</w:t>
            </w:r>
            <w:proofErr w:type="spellEnd"/>
            <w:r w:rsidR="000A21D8">
              <w:rPr>
                <w:rFonts w:ascii="Gill Sans MT" w:eastAsia="Gill Sans" w:hAnsi="Gill Sans MT" w:cs="Gill Sans"/>
                <w:sz w:val="22"/>
                <w:szCs w:val="22"/>
              </w:rPr>
              <w:t xml:space="preserve"> Europeo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2F6D" w:rsidRPr="009E1EAE" w:rsidRDefault="005245C8" w:rsidP="00915FE7">
            <w:pPr>
              <w:widowControl w:val="0"/>
              <w:rPr>
                <w:rFonts w:ascii="Gill Sans MT" w:eastAsia="Gill Sans" w:hAnsi="Gill Sans MT" w:cs="Gill Sans"/>
                <w:sz w:val="22"/>
                <w:szCs w:val="22"/>
              </w:rPr>
            </w:pPr>
            <w:r w:rsidRPr="009E1EAE">
              <w:rPr>
                <w:rFonts w:ascii="Gill Sans MT" w:eastAsia="Gill Sans" w:hAnsi="Gill Sans MT" w:cs="Gill Sans"/>
                <w:b/>
                <w:sz w:val="22"/>
                <w:szCs w:val="22"/>
              </w:rPr>
              <w:t xml:space="preserve">Presupuesto global: </w:t>
            </w:r>
            <w:r w:rsidR="00915FE7">
              <w:rPr>
                <w:rFonts w:ascii="Gill Sans MT" w:eastAsia="Gill Sans" w:hAnsi="Gill Sans MT" w:cs="Gill Sans"/>
                <w:sz w:val="22"/>
                <w:szCs w:val="22"/>
              </w:rPr>
              <w:t>por determinar</w:t>
            </w:r>
          </w:p>
        </w:tc>
      </w:tr>
    </w:tbl>
    <w:p w:rsidR="00242F6D" w:rsidRPr="009E1EAE" w:rsidRDefault="00242F6D">
      <w:pPr>
        <w:jc w:val="both"/>
        <w:rPr>
          <w:rFonts w:ascii="Gill Sans MT" w:eastAsia="Gill Sans" w:hAnsi="Gill Sans MT" w:cs="Gill Sans"/>
        </w:rPr>
      </w:pPr>
    </w:p>
    <w:p w:rsidR="0098663E" w:rsidRDefault="005245C8" w:rsidP="0098663E">
      <w:pPr>
        <w:jc w:val="both"/>
        <w:rPr>
          <w:rFonts w:ascii="Gill Sans MT" w:eastAsia="Gill Sans" w:hAnsi="Gill Sans MT" w:cs="Gill Sans"/>
          <w:sz w:val="22"/>
          <w:szCs w:val="22"/>
        </w:rPr>
      </w:pPr>
      <w:r w:rsidRPr="009E1EAE">
        <w:rPr>
          <w:rFonts w:ascii="Gill Sans MT" w:eastAsia="Gill Sans" w:hAnsi="Gill Sans MT" w:cs="Gill Sans"/>
          <w:b/>
          <w:color w:val="000000"/>
          <w:sz w:val="22"/>
          <w:szCs w:val="22"/>
        </w:rPr>
        <w:t>Objetivo</w:t>
      </w:r>
      <w:r w:rsidR="00AB27FA">
        <w:rPr>
          <w:rFonts w:ascii="Gill Sans MT" w:eastAsia="Gill Sans" w:hAnsi="Gill Sans MT" w:cs="Gill Sans"/>
          <w:b/>
          <w:color w:val="000000"/>
          <w:sz w:val="22"/>
          <w:szCs w:val="22"/>
        </w:rPr>
        <w:t>s</w:t>
      </w:r>
      <w:r w:rsidRPr="009E1EAE">
        <w:rPr>
          <w:rFonts w:ascii="Gill Sans MT" w:eastAsia="Gill Sans" w:hAnsi="Gill Sans MT" w:cs="Gill Sans"/>
          <w:color w:val="000000"/>
          <w:sz w:val="22"/>
          <w:szCs w:val="22"/>
        </w:rPr>
        <w:t>:</w:t>
      </w:r>
    </w:p>
    <w:p w:rsidR="00AB27FA" w:rsidRPr="00E569FE" w:rsidRDefault="00AB27FA" w:rsidP="00E569FE">
      <w:pPr>
        <w:pStyle w:val="Prrafodelista"/>
        <w:numPr>
          <w:ilvl w:val="0"/>
          <w:numId w:val="5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E569FE">
        <w:rPr>
          <w:rFonts w:ascii="Gill Sans MT" w:eastAsia="Gill Sans" w:hAnsi="Gill Sans MT" w:cs="Gill Sans"/>
          <w:sz w:val="22"/>
          <w:szCs w:val="22"/>
        </w:rPr>
        <w:t>Apoyar estudios clínicos aleatorizados de intervención multinacionales iniciados por investigadores (Investigator-</w:t>
      </w:r>
      <w:proofErr w:type="spellStart"/>
      <w:r w:rsidRPr="00E569FE">
        <w:rPr>
          <w:rFonts w:ascii="Gill Sans MT" w:eastAsia="Gill Sans" w:hAnsi="Gill Sans MT" w:cs="Gill Sans"/>
          <w:sz w:val="22"/>
          <w:szCs w:val="22"/>
        </w:rPr>
        <w:t>Initiated</w:t>
      </w:r>
      <w:proofErr w:type="spellEnd"/>
      <w:r w:rsidRPr="00E569FE">
        <w:rPr>
          <w:rFonts w:ascii="Gill Sans MT" w:eastAsia="Gill Sans" w:hAnsi="Gill Sans MT" w:cs="Gill Sans"/>
          <w:sz w:val="22"/>
          <w:szCs w:val="22"/>
        </w:rPr>
        <w:t xml:space="preserve"> Clinical Studies, IICS), diseñados como </w:t>
      </w:r>
      <w:r w:rsidRPr="00E569FE">
        <w:rPr>
          <w:rFonts w:ascii="Gill Sans MT" w:eastAsia="Gill Sans" w:hAnsi="Gill Sans MT" w:cs="Gill Sans"/>
          <w:b/>
          <w:sz w:val="22"/>
          <w:szCs w:val="22"/>
        </w:rPr>
        <w:t>estudios pragmáticos de efectividad comparativa</w:t>
      </w:r>
      <w:r w:rsidRPr="00E569FE">
        <w:rPr>
          <w:rFonts w:ascii="Gill Sans MT" w:eastAsia="Gill Sans" w:hAnsi="Gill Sans MT" w:cs="Gill Sans"/>
          <w:sz w:val="22"/>
          <w:szCs w:val="22"/>
        </w:rPr>
        <w:t xml:space="preserve"> y/o </w:t>
      </w:r>
      <w:r w:rsidRPr="00E569FE">
        <w:rPr>
          <w:rFonts w:ascii="Gill Sans MT" w:eastAsia="Gill Sans" w:hAnsi="Gill Sans MT" w:cs="Gill Sans"/>
          <w:b/>
          <w:sz w:val="22"/>
          <w:szCs w:val="22"/>
        </w:rPr>
        <w:t>estudios de reutilización de medicamentos</w:t>
      </w:r>
      <w:r w:rsidRPr="00E569FE">
        <w:rPr>
          <w:rFonts w:ascii="Gill Sans MT" w:eastAsia="Gill Sans" w:hAnsi="Gill Sans MT" w:cs="Gill Sans"/>
          <w:sz w:val="22"/>
          <w:szCs w:val="22"/>
        </w:rPr>
        <w:t>.</w:t>
      </w:r>
    </w:p>
    <w:p w:rsidR="00AB27FA" w:rsidRPr="00E569FE" w:rsidRDefault="00AB27FA" w:rsidP="00E569FE">
      <w:pPr>
        <w:pStyle w:val="Prrafodelista"/>
        <w:numPr>
          <w:ilvl w:val="0"/>
          <w:numId w:val="5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E569FE">
        <w:rPr>
          <w:rFonts w:ascii="Gill Sans MT" w:eastAsia="Gill Sans" w:hAnsi="Gill Sans MT" w:cs="Gill Sans"/>
          <w:sz w:val="22"/>
          <w:szCs w:val="22"/>
        </w:rPr>
        <w:t>Fomentar y habilitar la colaboración transnacional entre equipos de investigación clínica/salud pública (provenientes de hospitales, entornos de atención médica pública y otras organizaciones sanitarias) que lleven a cabo estudios IICS multinacionales, ya sean de efectividad comparativa o de reutilización de medicamentos.</w:t>
      </w:r>
    </w:p>
    <w:p w:rsidR="00E569FE" w:rsidRPr="00E569FE" w:rsidRDefault="005245C8" w:rsidP="00E569FE">
      <w:p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9E1EAE">
        <w:rPr>
          <w:rFonts w:ascii="Gill Sans MT" w:eastAsia="Gill Sans" w:hAnsi="Gill Sans MT" w:cs="Gill Sans"/>
          <w:b/>
          <w:sz w:val="22"/>
          <w:szCs w:val="22"/>
        </w:rPr>
        <w:t>Alcance</w:t>
      </w:r>
      <w:r w:rsidRPr="00AA575B">
        <w:rPr>
          <w:rFonts w:ascii="Gill Sans MT" w:eastAsia="Gill Sans" w:hAnsi="Gill Sans MT" w:cs="Gill Sans"/>
          <w:sz w:val="22"/>
          <w:szCs w:val="22"/>
        </w:rPr>
        <w:t xml:space="preserve">: </w:t>
      </w:r>
      <w:r w:rsidR="00E569FE" w:rsidRPr="00E569FE">
        <w:rPr>
          <w:rFonts w:ascii="Gill Sans MT" w:eastAsia="Gill Sans" w:hAnsi="Gill Sans MT" w:cs="Gill Sans"/>
          <w:sz w:val="22"/>
          <w:szCs w:val="22"/>
        </w:rPr>
        <w:t>Las propuestas deben tener en cuenta los siguientes puntos, según el diseño del ensayo clínico seleccionado:</w:t>
      </w:r>
    </w:p>
    <w:p w:rsidR="00E569FE" w:rsidRPr="00E569FE" w:rsidRDefault="00E569FE" w:rsidP="00E569FE">
      <w:pPr>
        <w:pStyle w:val="Prrafodelista"/>
        <w:numPr>
          <w:ilvl w:val="0"/>
          <w:numId w:val="6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E569FE">
        <w:rPr>
          <w:rFonts w:ascii="Gill Sans MT" w:eastAsia="Gill Sans" w:hAnsi="Gill Sans MT" w:cs="Gill Sans"/>
          <w:sz w:val="22"/>
          <w:szCs w:val="22"/>
        </w:rPr>
        <w:t xml:space="preserve">El estudio propuesto debe ser un </w:t>
      </w:r>
      <w:r w:rsidRPr="00E569FE">
        <w:rPr>
          <w:rFonts w:ascii="Gill Sans MT" w:eastAsia="Gill Sans" w:hAnsi="Gill Sans MT" w:cs="Gill Sans"/>
          <w:b/>
          <w:sz w:val="22"/>
          <w:szCs w:val="22"/>
        </w:rPr>
        <w:t>ensayo pragmático de efectividad comparativa y/o un ensayo de reutilización de medicamentos</w:t>
      </w:r>
      <w:r w:rsidRPr="00E569FE">
        <w:rPr>
          <w:rFonts w:ascii="Gill Sans MT" w:eastAsia="Gill Sans" w:hAnsi="Gill Sans MT" w:cs="Gill Sans"/>
          <w:sz w:val="22"/>
          <w:szCs w:val="22"/>
        </w:rPr>
        <w:t xml:space="preserve">, diseñado como un </w:t>
      </w:r>
      <w:r w:rsidRPr="00E569FE">
        <w:rPr>
          <w:rFonts w:ascii="Gill Sans MT" w:eastAsia="Gill Sans" w:hAnsi="Gill Sans MT" w:cs="Gill Sans"/>
          <w:b/>
          <w:sz w:val="22"/>
          <w:szCs w:val="22"/>
        </w:rPr>
        <w:t>ensayo de intervención aleatorizado de Fase III</w:t>
      </w:r>
      <w:r w:rsidRPr="00E569FE">
        <w:rPr>
          <w:rFonts w:ascii="Gill Sans MT" w:eastAsia="Gill Sans" w:hAnsi="Gill Sans MT" w:cs="Gill Sans"/>
          <w:sz w:val="22"/>
          <w:szCs w:val="22"/>
        </w:rPr>
        <w:t>. Se puede considerar la aleatorización por grupos si está justificada.</w:t>
      </w:r>
    </w:p>
    <w:p w:rsidR="00E569FE" w:rsidRPr="00E569FE" w:rsidRDefault="00E569FE" w:rsidP="00E569FE">
      <w:pPr>
        <w:pStyle w:val="Prrafodelista"/>
        <w:numPr>
          <w:ilvl w:val="0"/>
          <w:numId w:val="6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E569FE">
        <w:rPr>
          <w:rFonts w:ascii="Gill Sans MT" w:eastAsia="Gill Sans" w:hAnsi="Gill Sans MT" w:cs="Gill Sans"/>
          <w:sz w:val="22"/>
          <w:szCs w:val="22"/>
        </w:rPr>
        <w:t xml:space="preserve">En el caso de los ensayos de efectividad comparativa, deben </w:t>
      </w:r>
      <w:r w:rsidRPr="00E569FE">
        <w:rPr>
          <w:rFonts w:ascii="Gill Sans MT" w:eastAsia="Gill Sans" w:hAnsi="Gill Sans MT" w:cs="Gill Sans"/>
          <w:b/>
          <w:sz w:val="22"/>
          <w:szCs w:val="22"/>
        </w:rPr>
        <w:t>comparar el uso de intervenciones sanitarias aprobadas o existentes</w:t>
      </w:r>
      <w:r w:rsidRPr="00E569FE">
        <w:rPr>
          <w:rFonts w:ascii="Gill Sans MT" w:eastAsia="Gill Sans" w:hAnsi="Gill Sans MT" w:cs="Gill Sans"/>
          <w:sz w:val="22"/>
          <w:szCs w:val="22"/>
        </w:rPr>
        <w:t>, utilizadas en la práctica clínica en Europa, ya sea entre sí o con el estándar actual de atención.</w:t>
      </w:r>
    </w:p>
    <w:p w:rsidR="00E569FE" w:rsidRPr="00E569FE" w:rsidRDefault="00E569FE" w:rsidP="00E569FE">
      <w:pPr>
        <w:pStyle w:val="Prrafodelista"/>
        <w:numPr>
          <w:ilvl w:val="0"/>
          <w:numId w:val="6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E569FE">
        <w:rPr>
          <w:rFonts w:ascii="Gill Sans MT" w:eastAsia="Gill Sans" w:hAnsi="Gill Sans MT" w:cs="Gill Sans"/>
          <w:sz w:val="22"/>
          <w:szCs w:val="22"/>
        </w:rPr>
        <w:t xml:space="preserve">Estas intervenciones deben tener una alta relevancia pública en </w:t>
      </w:r>
      <w:r w:rsidRPr="00E569FE">
        <w:rPr>
          <w:rFonts w:ascii="Gill Sans MT" w:eastAsia="Gill Sans" w:hAnsi="Gill Sans MT" w:cs="Gill Sans"/>
          <w:b/>
          <w:sz w:val="22"/>
          <w:szCs w:val="22"/>
        </w:rPr>
        <w:t>al menos una de las siguientes enfermedades o condiciones específicas</w:t>
      </w:r>
      <w:r w:rsidRPr="00E569FE">
        <w:rPr>
          <w:rFonts w:ascii="Gill Sans MT" w:eastAsia="Gill Sans" w:hAnsi="Gill Sans MT" w:cs="Gill Sans"/>
          <w:sz w:val="22"/>
          <w:szCs w:val="22"/>
        </w:rPr>
        <w:t xml:space="preserve"> (todas ellas de igual importancia):</w:t>
      </w:r>
    </w:p>
    <w:p w:rsidR="00E569FE" w:rsidRPr="00E569FE" w:rsidRDefault="00E569FE" w:rsidP="005029C0">
      <w:pPr>
        <w:pStyle w:val="Prrafodelista"/>
        <w:numPr>
          <w:ilvl w:val="0"/>
          <w:numId w:val="7"/>
        </w:numPr>
        <w:spacing w:before="240"/>
        <w:ind w:left="1560"/>
        <w:jc w:val="both"/>
        <w:rPr>
          <w:rFonts w:ascii="Gill Sans MT" w:eastAsia="Gill Sans" w:hAnsi="Gill Sans MT" w:cs="Gill Sans"/>
          <w:b/>
          <w:sz w:val="22"/>
          <w:szCs w:val="22"/>
        </w:rPr>
      </w:pPr>
      <w:r w:rsidRPr="00E569FE">
        <w:rPr>
          <w:rFonts w:ascii="Gill Sans MT" w:eastAsia="Gill Sans" w:hAnsi="Gill Sans MT" w:cs="Gill Sans"/>
          <w:b/>
          <w:sz w:val="22"/>
          <w:szCs w:val="22"/>
        </w:rPr>
        <w:t>Enfermedades cardiovasculares</w:t>
      </w:r>
    </w:p>
    <w:p w:rsidR="00E569FE" w:rsidRPr="00E569FE" w:rsidRDefault="00E569FE" w:rsidP="005029C0">
      <w:pPr>
        <w:pStyle w:val="Prrafodelista"/>
        <w:numPr>
          <w:ilvl w:val="0"/>
          <w:numId w:val="7"/>
        </w:numPr>
        <w:spacing w:before="240"/>
        <w:ind w:left="1560"/>
        <w:jc w:val="both"/>
        <w:rPr>
          <w:rFonts w:ascii="Gill Sans MT" w:eastAsia="Gill Sans" w:hAnsi="Gill Sans MT" w:cs="Gill Sans"/>
          <w:b/>
          <w:sz w:val="22"/>
          <w:szCs w:val="22"/>
        </w:rPr>
      </w:pPr>
      <w:r w:rsidRPr="00E569FE">
        <w:rPr>
          <w:rFonts w:ascii="Gill Sans MT" w:eastAsia="Gill Sans" w:hAnsi="Gill Sans MT" w:cs="Gill Sans"/>
          <w:b/>
          <w:sz w:val="22"/>
          <w:szCs w:val="22"/>
        </w:rPr>
        <w:t>Trastornos metabólicos</w:t>
      </w:r>
    </w:p>
    <w:p w:rsidR="00E569FE" w:rsidRPr="00E569FE" w:rsidRDefault="00E569FE" w:rsidP="005029C0">
      <w:pPr>
        <w:pStyle w:val="Prrafodelista"/>
        <w:numPr>
          <w:ilvl w:val="0"/>
          <w:numId w:val="7"/>
        </w:numPr>
        <w:spacing w:before="240"/>
        <w:ind w:left="1560"/>
        <w:jc w:val="both"/>
        <w:rPr>
          <w:rFonts w:ascii="Gill Sans MT" w:eastAsia="Gill Sans" w:hAnsi="Gill Sans MT" w:cs="Gill Sans"/>
          <w:sz w:val="22"/>
          <w:szCs w:val="22"/>
        </w:rPr>
      </w:pPr>
      <w:r w:rsidRPr="00E569FE">
        <w:rPr>
          <w:rFonts w:ascii="Gill Sans MT" w:eastAsia="Gill Sans" w:hAnsi="Gill Sans MT" w:cs="Gill Sans"/>
          <w:b/>
          <w:sz w:val="22"/>
          <w:szCs w:val="22"/>
        </w:rPr>
        <w:t>Enfermedades autoinmunes</w:t>
      </w:r>
      <w:r w:rsidRPr="00E569FE">
        <w:rPr>
          <w:rFonts w:ascii="Gill Sans MT" w:eastAsia="Gill Sans" w:hAnsi="Gill Sans MT" w:cs="Gill Sans"/>
          <w:sz w:val="22"/>
          <w:szCs w:val="22"/>
        </w:rPr>
        <w:t xml:space="preserve"> (incluyendo no solo las basadas en anticuerpos, sino también otras enfermedades inflamatorias mediadas por el sistema inmune)</w:t>
      </w:r>
    </w:p>
    <w:p w:rsidR="008B25C0" w:rsidRDefault="005245C8" w:rsidP="00BE416D">
      <w:p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9E1EAE">
        <w:rPr>
          <w:rFonts w:ascii="Gill Sans MT" w:eastAsia="Gill Sans" w:hAnsi="Gill Sans MT" w:cs="Gill Sans"/>
          <w:b/>
          <w:sz w:val="22"/>
          <w:szCs w:val="22"/>
        </w:rPr>
        <w:t>Requisitos de los solicitantes</w:t>
      </w:r>
      <w:r w:rsidRPr="009E1EAE">
        <w:rPr>
          <w:rFonts w:ascii="Gill Sans MT" w:eastAsia="Gill Sans" w:hAnsi="Gill Sans MT" w:cs="Gill Sans"/>
          <w:sz w:val="22"/>
          <w:szCs w:val="22"/>
        </w:rPr>
        <w:t xml:space="preserve">: </w:t>
      </w:r>
      <w:r w:rsidR="00E569FE" w:rsidRPr="00E569FE">
        <w:rPr>
          <w:rFonts w:ascii="Gill Sans MT" w:eastAsia="Gill Sans" w:hAnsi="Gill Sans MT" w:cs="Gill Sans"/>
          <w:sz w:val="22"/>
          <w:szCs w:val="22"/>
        </w:rPr>
        <w:t>Más allá de los temas de investigación, deben considerarse los siguientes requisitos y recomendaciones, incluyendo enfoques de Investigación e Innovación Responsable (RRI):</w:t>
      </w:r>
    </w:p>
    <w:p w:rsidR="00E569FE" w:rsidRPr="00E569FE" w:rsidRDefault="00E569FE" w:rsidP="00E569FE">
      <w:pPr>
        <w:pStyle w:val="Prrafodelista"/>
        <w:numPr>
          <w:ilvl w:val="0"/>
          <w:numId w:val="5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E569FE">
        <w:rPr>
          <w:rFonts w:ascii="Gill Sans MT" w:eastAsia="Gill Sans" w:hAnsi="Gill Sans MT" w:cs="Gill Sans"/>
          <w:sz w:val="22"/>
          <w:szCs w:val="22"/>
        </w:rPr>
        <w:lastRenderedPageBreak/>
        <w:t>Las propuestas deben demostrar claramente el posible impacto en la salud y/o en la economía, así como el valor añadido de la colaboración clínica transnacional.</w:t>
      </w:r>
    </w:p>
    <w:p w:rsidR="00E569FE" w:rsidRPr="00E569FE" w:rsidRDefault="00E569FE" w:rsidP="00E569FE">
      <w:pPr>
        <w:pStyle w:val="Prrafodelista"/>
        <w:numPr>
          <w:ilvl w:val="0"/>
          <w:numId w:val="5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E569FE">
        <w:rPr>
          <w:rFonts w:ascii="Gill Sans MT" w:eastAsia="Gill Sans" w:hAnsi="Gill Sans MT" w:cs="Gill Sans"/>
          <w:sz w:val="22"/>
          <w:szCs w:val="22"/>
        </w:rPr>
        <w:t>Se deben utilizar instrumentos y métodos validados para determinar la carga de la enfermedad y para evaluar los efectos de las intervenciones, cuando existan.</w:t>
      </w:r>
    </w:p>
    <w:p w:rsidR="00E569FE" w:rsidRPr="00E569FE" w:rsidRDefault="00E569FE" w:rsidP="00892FEA">
      <w:pPr>
        <w:pStyle w:val="Prrafodelista"/>
        <w:numPr>
          <w:ilvl w:val="0"/>
          <w:numId w:val="5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E569FE">
        <w:rPr>
          <w:rFonts w:ascii="Gill Sans MT" w:eastAsia="Gill Sans" w:hAnsi="Gill Sans MT" w:cs="Gill Sans"/>
          <w:sz w:val="22"/>
          <w:szCs w:val="22"/>
        </w:rPr>
        <w:t>Las propuestas deben incluir desde el principio la participación de los "usuarios finales" (pacientes, proveedores de atención, profesionales sanitarios, etc.) en el diseño y desarrollo del estudio</w:t>
      </w:r>
      <w:r w:rsidR="005029C0">
        <w:rPr>
          <w:rFonts w:ascii="Gill Sans MT" w:eastAsia="Gill Sans" w:hAnsi="Gill Sans MT" w:cs="Gill Sans"/>
          <w:sz w:val="22"/>
          <w:szCs w:val="22"/>
        </w:rPr>
        <w:t>.</w:t>
      </w:r>
      <w:r w:rsidRPr="00E569FE">
        <w:rPr>
          <w:rFonts w:ascii="Gill Sans MT" w:eastAsia="Gill Sans" w:hAnsi="Gill Sans MT" w:cs="Gill Sans"/>
          <w:sz w:val="22"/>
          <w:szCs w:val="22"/>
        </w:rPr>
        <w:t xml:space="preserve"> </w:t>
      </w:r>
      <w:r w:rsidR="005029C0">
        <w:rPr>
          <w:rFonts w:ascii="Gill Sans MT" w:eastAsia="Gill Sans" w:hAnsi="Gill Sans MT" w:cs="Gill Sans"/>
          <w:sz w:val="22"/>
          <w:szCs w:val="22"/>
        </w:rPr>
        <w:t>Y</w:t>
      </w:r>
      <w:r w:rsidRPr="00E569FE">
        <w:rPr>
          <w:rFonts w:ascii="Gill Sans MT" w:eastAsia="Gill Sans" w:hAnsi="Gill Sans MT" w:cs="Gill Sans"/>
          <w:sz w:val="22"/>
          <w:szCs w:val="22"/>
        </w:rPr>
        <w:t xml:space="preserve"> continuar dicha participación </w:t>
      </w:r>
      <w:r w:rsidRPr="00892FEA">
        <w:rPr>
          <w:rFonts w:ascii="Gill Sans MT" w:eastAsia="Gill Sans" w:hAnsi="Gill Sans MT" w:cs="Gill Sans"/>
          <w:b/>
          <w:sz w:val="22"/>
          <w:szCs w:val="22"/>
        </w:rPr>
        <w:t>durante todo el ciclo de vida del proyecto</w:t>
      </w:r>
      <w:r w:rsidRPr="00E569FE">
        <w:rPr>
          <w:rFonts w:ascii="Gill Sans MT" w:eastAsia="Gill Sans" w:hAnsi="Gill Sans MT" w:cs="Gill Sans"/>
          <w:sz w:val="22"/>
          <w:szCs w:val="22"/>
        </w:rPr>
        <w:t xml:space="preserve">. </w:t>
      </w:r>
    </w:p>
    <w:p w:rsidR="00E569FE" w:rsidRPr="00E569FE" w:rsidRDefault="00E569FE" w:rsidP="00E569FE">
      <w:pPr>
        <w:pStyle w:val="Prrafodelista"/>
        <w:numPr>
          <w:ilvl w:val="0"/>
          <w:numId w:val="5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E569FE">
        <w:rPr>
          <w:rFonts w:ascii="Gill Sans MT" w:eastAsia="Gill Sans" w:hAnsi="Gill Sans MT" w:cs="Gill Sans"/>
          <w:sz w:val="22"/>
          <w:szCs w:val="22"/>
        </w:rPr>
        <w:t>Los consorcios deben garantizar la gestión de los datos de investigación y muestras biológicas recogidas durante los proyectos, de acuerdo con los principios FAIR (localizables, accesibles, interoperables y reutilizables) y en cumplimiento con el Reglamento General de Protección de Datos (GDPR).</w:t>
      </w:r>
    </w:p>
    <w:p w:rsidR="00E569FE" w:rsidRPr="00E569FE" w:rsidRDefault="00E569FE" w:rsidP="00E569FE">
      <w:pPr>
        <w:pStyle w:val="Prrafodelista"/>
        <w:numPr>
          <w:ilvl w:val="0"/>
          <w:numId w:val="5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E569FE">
        <w:rPr>
          <w:rFonts w:ascii="Gill Sans MT" w:eastAsia="Gill Sans" w:hAnsi="Gill Sans MT" w:cs="Gill Sans"/>
          <w:sz w:val="22"/>
          <w:szCs w:val="22"/>
        </w:rPr>
        <w:t xml:space="preserve">En línea con la </w:t>
      </w:r>
      <w:hyperlink r:id="rId8" w:history="1">
        <w:r w:rsidRPr="00F203A4">
          <w:rPr>
            <w:rStyle w:val="Hipervnculo"/>
            <w:rFonts w:ascii="Gill Sans MT" w:eastAsia="Gill Sans" w:hAnsi="Gill Sans MT" w:cs="Gill Sans"/>
            <w:sz w:val="22"/>
            <w:szCs w:val="22"/>
          </w:rPr>
          <w:t>hoja de ruta de la Comisión Europea sobre los derechos de las mujeres</w:t>
        </w:r>
      </w:hyperlink>
      <w:r w:rsidRPr="00E569FE">
        <w:rPr>
          <w:rFonts w:ascii="Gill Sans MT" w:eastAsia="Gill Sans" w:hAnsi="Gill Sans MT" w:cs="Gill Sans"/>
          <w:sz w:val="22"/>
          <w:szCs w:val="22"/>
        </w:rPr>
        <w:t>, los estudios propuestos deben considerar los aspectos de sexo y género.</w:t>
      </w:r>
    </w:p>
    <w:p w:rsidR="00E569FE" w:rsidRPr="00E569FE" w:rsidRDefault="00E569FE" w:rsidP="00E569FE">
      <w:pPr>
        <w:pStyle w:val="Prrafodelista"/>
        <w:numPr>
          <w:ilvl w:val="0"/>
          <w:numId w:val="5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E569FE">
        <w:rPr>
          <w:rFonts w:ascii="Gill Sans MT" w:eastAsia="Gill Sans" w:hAnsi="Gill Sans MT" w:cs="Gill Sans"/>
          <w:sz w:val="22"/>
          <w:szCs w:val="22"/>
        </w:rPr>
        <w:t xml:space="preserve">Los consorcios deben asegurar aspectos de inclusión en el reclutamiento de pacientes (minorías, factores socioeconómicos, étnicos, etc.), para incluir </w:t>
      </w:r>
      <w:r w:rsidRPr="00892FEA">
        <w:rPr>
          <w:rFonts w:ascii="Gill Sans MT" w:eastAsia="Gill Sans" w:hAnsi="Gill Sans MT" w:cs="Gill Sans"/>
          <w:b/>
          <w:sz w:val="22"/>
          <w:szCs w:val="22"/>
        </w:rPr>
        <w:t xml:space="preserve">poblaciones </w:t>
      </w:r>
      <w:proofErr w:type="spellStart"/>
      <w:r w:rsidRPr="00892FEA">
        <w:rPr>
          <w:rFonts w:ascii="Gill Sans MT" w:eastAsia="Gill Sans" w:hAnsi="Gill Sans MT" w:cs="Gill Sans"/>
          <w:b/>
          <w:sz w:val="22"/>
          <w:szCs w:val="22"/>
        </w:rPr>
        <w:t>subrepresentadas</w:t>
      </w:r>
      <w:proofErr w:type="spellEnd"/>
      <w:r w:rsidRPr="00892FEA">
        <w:rPr>
          <w:rFonts w:ascii="Gill Sans MT" w:eastAsia="Gill Sans" w:hAnsi="Gill Sans MT" w:cs="Gill Sans"/>
          <w:b/>
          <w:sz w:val="22"/>
          <w:szCs w:val="22"/>
        </w:rPr>
        <w:t xml:space="preserve"> y vulnerables</w:t>
      </w:r>
      <w:r w:rsidRPr="00E569FE">
        <w:rPr>
          <w:rFonts w:ascii="Gill Sans MT" w:eastAsia="Gill Sans" w:hAnsi="Gill Sans MT" w:cs="Gill Sans"/>
          <w:sz w:val="22"/>
          <w:szCs w:val="22"/>
        </w:rPr>
        <w:t xml:space="preserve"> que puedan ser especialmente relevantes en un área médica determinada.</w:t>
      </w:r>
    </w:p>
    <w:p w:rsidR="00E569FE" w:rsidRPr="005029C0" w:rsidRDefault="00E569FE">
      <w:pPr>
        <w:pStyle w:val="Prrafodelista"/>
        <w:numPr>
          <w:ilvl w:val="0"/>
          <w:numId w:val="5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5029C0">
        <w:rPr>
          <w:rFonts w:ascii="Gill Sans MT" w:eastAsia="Gill Sans" w:hAnsi="Gill Sans MT" w:cs="Gill Sans"/>
          <w:sz w:val="22"/>
          <w:szCs w:val="22"/>
        </w:rPr>
        <w:t>Los socios del consorcio, especialmente el Investigador Principal (PI) coordinador, deben tener un historial probado en la realización de ensayos clínicos para garantizar la viabilidad del estudio.</w:t>
      </w:r>
    </w:p>
    <w:p w:rsidR="00242F6D" w:rsidRDefault="00E6118B" w:rsidP="0034791F">
      <w:p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>
        <w:rPr>
          <w:rFonts w:ascii="Gill Sans MT" w:eastAsia="Gill Sans" w:hAnsi="Gill Sans MT" w:cs="Gill Sans"/>
          <w:sz w:val="22"/>
          <w:szCs w:val="22"/>
        </w:rPr>
        <w:t>Las condiciones exactas de participación se publicarán con el anuncio oficial de apertura.</w:t>
      </w:r>
    </w:p>
    <w:p w:rsidR="00242F6D" w:rsidRPr="0034791F" w:rsidRDefault="005245C8" w:rsidP="0034791F">
      <w:p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34791F">
        <w:rPr>
          <w:rFonts w:ascii="Gill Sans MT" w:eastAsia="Gill Sans" w:hAnsi="Gill Sans MT" w:cs="Gill Sans"/>
          <w:b/>
          <w:sz w:val="22"/>
          <w:szCs w:val="22"/>
        </w:rPr>
        <w:t>Participantes:</w:t>
      </w:r>
      <w:r w:rsidR="008B25C0" w:rsidRPr="0034791F">
        <w:rPr>
          <w:rFonts w:ascii="Gill Sans MT" w:eastAsia="Gill Sans" w:hAnsi="Gill Sans MT" w:cs="Gill Sans"/>
          <w:b/>
          <w:sz w:val="22"/>
          <w:szCs w:val="22"/>
        </w:rPr>
        <w:t xml:space="preserve"> </w:t>
      </w:r>
      <w:r w:rsidR="00AF4E8D" w:rsidRPr="0034791F">
        <w:rPr>
          <w:rFonts w:ascii="Gill Sans MT" w:eastAsia="Gill Sans" w:hAnsi="Gill Sans MT" w:cs="Gill Sans"/>
          <w:sz w:val="22"/>
          <w:szCs w:val="22"/>
        </w:rPr>
        <w:t>Austria</w:t>
      </w:r>
      <w:r w:rsidR="00AF4E8D">
        <w:rPr>
          <w:rFonts w:ascii="Gill Sans MT" w:eastAsia="Gill Sans" w:hAnsi="Gill Sans MT" w:cs="Gill Sans"/>
          <w:sz w:val="22"/>
          <w:szCs w:val="22"/>
        </w:rPr>
        <w:t>, Bélgica,</w:t>
      </w:r>
      <w:r w:rsidR="00AF4E8D" w:rsidRPr="0034791F">
        <w:rPr>
          <w:rFonts w:ascii="Gill Sans MT" w:eastAsia="Gill Sans" w:hAnsi="Gill Sans MT" w:cs="Gill Sans"/>
          <w:sz w:val="22"/>
          <w:szCs w:val="22"/>
        </w:rPr>
        <w:t xml:space="preserve"> Chequia</w:t>
      </w:r>
      <w:r w:rsidR="00AF4E8D">
        <w:rPr>
          <w:rFonts w:ascii="Gill Sans MT" w:eastAsia="Gill Sans" w:hAnsi="Gill Sans MT" w:cs="Gill Sans"/>
          <w:sz w:val="22"/>
          <w:szCs w:val="22"/>
        </w:rPr>
        <w:t xml:space="preserve">, </w:t>
      </w:r>
      <w:r w:rsidR="00AF4E8D" w:rsidRPr="0034791F">
        <w:rPr>
          <w:rFonts w:ascii="Gill Sans MT" w:eastAsia="Gill Sans" w:hAnsi="Gill Sans MT" w:cs="Gill Sans"/>
          <w:sz w:val="22"/>
          <w:szCs w:val="22"/>
        </w:rPr>
        <w:t>Francia</w:t>
      </w:r>
      <w:r w:rsidR="00AF4E8D">
        <w:rPr>
          <w:rFonts w:ascii="Gill Sans MT" w:eastAsia="Gill Sans" w:hAnsi="Gill Sans MT" w:cs="Gill Sans"/>
          <w:sz w:val="22"/>
          <w:szCs w:val="22"/>
        </w:rPr>
        <w:t xml:space="preserve">, </w:t>
      </w:r>
      <w:r w:rsidR="008B25C0" w:rsidRPr="0034791F">
        <w:rPr>
          <w:rFonts w:ascii="Gill Sans MT" w:eastAsia="Gill Sans" w:hAnsi="Gill Sans MT" w:cs="Gill Sans"/>
          <w:sz w:val="22"/>
          <w:szCs w:val="22"/>
        </w:rPr>
        <w:t xml:space="preserve">Alemania, </w:t>
      </w:r>
      <w:r w:rsidR="00AF4E8D" w:rsidRPr="0034791F">
        <w:rPr>
          <w:rFonts w:ascii="Gill Sans MT" w:eastAsia="Gill Sans" w:hAnsi="Gill Sans MT" w:cs="Gill Sans"/>
          <w:sz w:val="22"/>
          <w:szCs w:val="22"/>
        </w:rPr>
        <w:t>Italia</w:t>
      </w:r>
      <w:r w:rsidR="008B25C0" w:rsidRPr="0034791F">
        <w:rPr>
          <w:rFonts w:ascii="Gill Sans MT" w:eastAsia="Gill Sans" w:hAnsi="Gill Sans MT" w:cs="Gill Sans"/>
          <w:sz w:val="22"/>
          <w:szCs w:val="22"/>
        </w:rPr>
        <w:t xml:space="preserve">, </w:t>
      </w:r>
      <w:r w:rsidR="00AF4E8D" w:rsidRPr="0034791F">
        <w:rPr>
          <w:rFonts w:ascii="Gill Sans MT" w:eastAsia="Gill Sans" w:hAnsi="Gill Sans MT" w:cs="Gill Sans"/>
          <w:sz w:val="22"/>
          <w:szCs w:val="22"/>
        </w:rPr>
        <w:t>Letonia, Lituania</w:t>
      </w:r>
      <w:r w:rsidR="008B25C0" w:rsidRPr="0034791F">
        <w:rPr>
          <w:rFonts w:ascii="Gill Sans MT" w:eastAsia="Gill Sans" w:hAnsi="Gill Sans MT" w:cs="Gill Sans"/>
          <w:sz w:val="22"/>
          <w:szCs w:val="22"/>
        </w:rPr>
        <w:t xml:space="preserve">, </w:t>
      </w:r>
      <w:r w:rsidR="00AF4E8D" w:rsidRPr="0034791F">
        <w:rPr>
          <w:rFonts w:ascii="Gill Sans MT" w:eastAsia="Gill Sans" w:hAnsi="Gill Sans MT" w:cs="Gill Sans"/>
          <w:sz w:val="22"/>
          <w:szCs w:val="22"/>
        </w:rPr>
        <w:t>Noruega, Polonia</w:t>
      </w:r>
      <w:r w:rsidR="00AF4E8D">
        <w:rPr>
          <w:rFonts w:ascii="Gill Sans MT" w:eastAsia="Gill Sans" w:hAnsi="Gill Sans MT" w:cs="Gill Sans"/>
          <w:sz w:val="22"/>
          <w:szCs w:val="22"/>
        </w:rPr>
        <w:t xml:space="preserve">, Rumanía, </w:t>
      </w:r>
      <w:r w:rsidR="008B25C0" w:rsidRPr="0034791F">
        <w:rPr>
          <w:rFonts w:ascii="Gill Sans MT" w:eastAsia="Gill Sans" w:hAnsi="Gill Sans MT" w:cs="Gill Sans"/>
          <w:sz w:val="22"/>
          <w:szCs w:val="22"/>
        </w:rPr>
        <w:t xml:space="preserve">Eslovaquia, España, </w:t>
      </w:r>
      <w:r w:rsidR="00AF4E8D">
        <w:rPr>
          <w:rFonts w:ascii="Gill Sans MT" w:eastAsia="Gill Sans" w:hAnsi="Gill Sans MT" w:cs="Gill Sans"/>
          <w:sz w:val="22"/>
          <w:szCs w:val="22"/>
        </w:rPr>
        <w:t>Suecia, Turquía, Reino Unido y Estados Unidos</w:t>
      </w:r>
      <w:r w:rsidRPr="0034791F">
        <w:rPr>
          <w:rFonts w:ascii="Gill Sans MT" w:eastAsia="Gill Sans" w:hAnsi="Gill Sans MT" w:cs="Gill Sans"/>
          <w:sz w:val="22"/>
          <w:szCs w:val="22"/>
        </w:rPr>
        <w:t>.</w:t>
      </w:r>
    </w:p>
    <w:p w:rsidR="00242F6D" w:rsidRDefault="005245C8" w:rsidP="0034791F">
      <w:p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9E1EAE">
        <w:rPr>
          <w:rFonts w:ascii="Gill Sans MT" w:eastAsia="Gill Sans" w:hAnsi="Gill Sans MT" w:cs="Gill Sans"/>
          <w:b/>
          <w:sz w:val="22"/>
          <w:szCs w:val="22"/>
        </w:rPr>
        <w:t xml:space="preserve">Financiación: </w:t>
      </w:r>
      <w:r w:rsidRPr="009E1EAE">
        <w:rPr>
          <w:rFonts w:ascii="Gill Sans MT" w:eastAsia="Gill Sans" w:hAnsi="Gill Sans MT" w:cs="Gill Sans"/>
          <w:sz w:val="22"/>
          <w:szCs w:val="22"/>
        </w:rPr>
        <w:t xml:space="preserve">Las condiciones de financiación varían por país y tipo de entidad participante. </w:t>
      </w:r>
      <w:r w:rsidR="00AF4E8D">
        <w:rPr>
          <w:rFonts w:ascii="Gill Sans MT" w:eastAsia="Gill Sans" w:hAnsi="Gill Sans MT" w:cs="Gill Sans"/>
          <w:sz w:val="22"/>
          <w:szCs w:val="22"/>
          <w:u w:val="single"/>
        </w:rPr>
        <w:t>En</w:t>
      </w:r>
      <w:r w:rsidRPr="009E1EAE">
        <w:rPr>
          <w:rFonts w:ascii="Gill Sans MT" w:eastAsia="Gill Sans" w:hAnsi="Gill Sans MT" w:cs="Gill Sans"/>
          <w:sz w:val="22"/>
          <w:szCs w:val="22"/>
          <w:u w:val="single"/>
        </w:rPr>
        <w:t xml:space="preserve"> España</w:t>
      </w:r>
      <w:r w:rsidR="00801F77">
        <w:rPr>
          <w:rFonts w:ascii="Gill Sans MT" w:eastAsia="Gill Sans" w:hAnsi="Gill Sans MT" w:cs="Gill Sans"/>
          <w:sz w:val="22"/>
          <w:szCs w:val="22"/>
        </w:rPr>
        <w:t xml:space="preserve"> financian </w:t>
      </w:r>
      <w:r w:rsidR="00915FE7">
        <w:rPr>
          <w:rFonts w:ascii="Gill Sans MT" w:eastAsia="Gill Sans" w:hAnsi="Gill Sans MT" w:cs="Gill Sans"/>
          <w:sz w:val="22"/>
          <w:szCs w:val="22"/>
        </w:rPr>
        <w:t>el ISCIII</w:t>
      </w:r>
      <w:r w:rsidR="00801F77">
        <w:rPr>
          <w:rFonts w:ascii="Gill Sans MT" w:eastAsia="Gill Sans" w:hAnsi="Gill Sans MT" w:cs="Gill Sans"/>
          <w:sz w:val="22"/>
          <w:szCs w:val="22"/>
        </w:rPr>
        <w:t xml:space="preserve"> y </w:t>
      </w:r>
      <w:r w:rsidR="005029C0">
        <w:rPr>
          <w:rFonts w:ascii="Gill Sans MT" w:eastAsia="Gill Sans" w:hAnsi="Gill Sans MT" w:cs="Gill Sans"/>
          <w:sz w:val="22"/>
          <w:szCs w:val="22"/>
        </w:rPr>
        <w:t xml:space="preserve">la </w:t>
      </w:r>
      <w:r w:rsidR="005029C0">
        <w:rPr>
          <w:rFonts w:ascii="Gill Sans MT" w:eastAsia="Gill Sans" w:hAnsi="Gill Sans MT" w:cs="Gill Sans"/>
          <w:i/>
          <w:sz w:val="22"/>
          <w:szCs w:val="22"/>
        </w:rPr>
        <w:t>Generalitat de Catalunya</w:t>
      </w:r>
      <w:r w:rsidRPr="009E1EAE">
        <w:rPr>
          <w:rFonts w:ascii="Gill Sans MT" w:eastAsia="Gill Sans" w:hAnsi="Gill Sans MT" w:cs="Gill Sans"/>
          <w:sz w:val="22"/>
          <w:szCs w:val="22"/>
        </w:rPr>
        <w:t xml:space="preserve">. </w:t>
      </w:r>
    </w:p>
    <w:p w:rsidR="00242F6D" w:rsidRPr="009E1EAE" w:rsidRDefault="005245C8" w:rsidP="0034791F">
      <w:p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9E1EAE">
        <w:rPr>
          <w:rFonts w:ascii="Gill Sans MT" w:eastAsia="Gill Sans" w:hAnsi="Gill Sans MT" w:cs="Gill Sans"/>
          <w:b/>
          <w:color w:val="000000"/>
          <w:sz w:val="22"/>
          <w:szCs w:val="22"/>
        </w:rPr>
        <w:t>Más información:</w:t>
      </w:r>
      <w:r w:rsidRPr="009E1EAE">
        <w:rPr>
          <w:rFonts w:ascii="Gill Sans MT" w:eastAsia="Gill Sans" w:hAnsi="Gill Sans MT" w:cs="Gill Sans"/>
          <w:sz w:val="22"/>
          <w:szCs w:val="22"/>
        </w:rPr>
        <w:t xml:space="preserve"> </w:t>
      </w:r>
    </w:p>
    <w:p w:rsidR="00242F6D" w:rsidRDefault="005029C0">
      <w:pPr>
        <w:jc w:val="both"/>
        <w:rPr>
          <w:rFonts w:ascii="Gill Sans MT" w:eastAsia="Gill Sans" w:hAnsi="Gill Sans MT" w:cs="Gill Sans"/>
          <w:sz w:val="22"/>
          <w:szCs w:val="22"/>
        </w:rPr>
      </w:pPr>
      <w:r>
        <w:rPr>
          <w:rFonts w:ascii="Gill Sans MT" w:eastAsia="Gill Sans" w:hAnsi="Gill Sans MT" w:cs="Gill Sans"/>
          <w:sz w:val="22"/>
          <w:szCs w:val="22"/>
        </w:rPr>
        <w:t>Aquellos interesados han de p</w:t>
      </w:r>
      <w:r w:rsidR="005245C8" w:rsidRPr="009E1EAE">
        <w:rPr>
          <w:rFonts w:ascii="Gill Sans MT" w:eastAsia="Gill Sans" w:hAnsi="Gill Sans MT" w:cs="Gill Sans"/>
          <w:sz w:val="22"/>
          <w:szCs w:val="22"/>
        </w:rPr>
        <w:t>onerse en contacto con la Plataforma de Internacionalización de IdiPAZ</w:t>
      </w:r>
      <w:r>
        <w:rPr>
          <w:rFonts w:ascii="Gill Sans MT" w:eastAsia="Gill Sans" w:hAnsi="Gill Sans MT" w:cs="Gill Sans"/>
          <w:sz w:val="22"/>
          <w:szCs w:val="22"/>
        </w:rPr>
        <w:t xml:space="preserve">, antes del </w:t>
      </w:r>
      <w:r>
        <w:rPr>
          <w:rFonts w:ascii="Gill Sans MT" w:eastAsia="Gill Sans" w:hAnsi="Gill Sans MT" w:cs="Gill Sans"/>
          <w:b/>
          <w:sz w:val="22"/>
          <w:szCs w:val="22"/>
        </w:rPr>
        <w:t>20 de diciembre de 2025</w:t>
      </w:r>
      <w:r w:rsidR="005245C8" w:rsidRPr="009E1EAE">
        <w:rPr>
          <w:rFonts w:ascii="Gill Sans MT" w:eastAsia="Gill Sans" w:hAnsi="Gill Sans MT" w:cs="Gill Sans"/>
          <w:sz w:val="22"/>
          <w:szCs w:val="22"/>
        </w:rPr>
        <w:t>.</w:t>
      </w:r>
    </w:p>
    <w:p w:rsidR="00801F77" w:rsidRDefault="00801F77">
      <w:pPr>
        <w:jc w:val="both"/>
        <w:rPr>
          <w:rFonts w:ascii="Gill Sans MT" w:eastAsia="Gill Sans" w:hAnsi="Gill Sans MT" w:cs="Gill Sans"/>
          <w:sz w:val="22"/>
          <w:szCs w:val="22"/>
        </w:rPr>
      </w:pPr>
      <w:r>
        <w:rPr>
          <w:rFonts w:ascii="Gill Sans MT" w:eastAsia="Gill Sans" w:hAnsi="Gill Sans MT" w:cs="Gill Sans"/>
          <w:sz w:val="22"/>
          <w:szCs w:val="22"/>
        </w:rPr>
        <w:t xml:space="preserve">La convocatoria tendrá un </w:t>
      </w:r>
      <w:proofErr w:type="spellStart"/>
      <w:r w:rsidRPr="00EF2618">
        <w:rPr>
          <w:rFonts w:ascii="Gill Sans MT" w:eastAsia="Gill Sans" w:hAnsi="Gill Sans MT" w:cs="Gill Sans"/>
          <w:b/>
          <w:sz w:val="22"/>
          <w:szCs w:val="22"/>
        </w:rPr>
        <w:t>webinario</w:t>
      </w:r>
      <w:proofErr w:type="spellEnd"/>
      <w:r w:rsidRPr="00EF2618">
        <w:rPr>
          <w:rFonts w:ascii="Gill Sans MT" w:eastAsia="Gill Sans" w:hAnsi="Gill Sans MT" w:cs="Gill Sans"/>
          <w:b/>
          <w:sz w:val="22"/>
          <w:szCs w:val="22"/>
        </w:rPr>
        <w:t xml:space="preserve"> informativo</w:t>
      </w:r>
      <w:r>
        <w:rPr>
          <w:rFonts w:ascii="Gill Sans MT" w:eastAsia="Gill Sans" w:hAnsi="Gill Sans MT" w:cs="Gill Sans"/>
          <w:sz w:val="22"/>
          <w:szCs w:val="22"/>
        </w:rPr>
        <w:t xml:space="preserve">, en inglés, el día </w:t>
      </w:r>
      <w:r w:rsidR="00AF4E8D">
        <w:rPr>
          <w:rFonts w:ascii="Gill Sans MT" w:eastAsia="Gill Sans" w:hAnsi="Gill Sans MT" w:cs="Gill Sans"/>
          <w:sz w:val="22"/>
          <w:szCs w:val="22"/>
        </w:rPr>
        <w:t>13</w:t>
      </w:r>
      <w:r>
        <w:rPr>
          <w:rFonts w:ascii="Gill Sans MT" w:eastAsia="Gill Sans" w:hAnsi="Gill Sans MT" w:cs="Gill Sans"/>
          <w:sz w:val="22"/>
          <w:szCs w:val="22"/>
        </w:rPr>
        <w:t>/11/202</w:t>
      </w:r>
      <w:r w:rsidR="00AF4E8D">
        <w:rPr>
          <w:rFonts w:ascii="Gill Sans MT" w:eastAsia="Gill Sans" w:hAnsi="Gill Sans MT" w:cs="Gill Sans"/>
          <w:sz w:val="22"/>
          <w:szCs w:val="22"/>
        </w:rPr>
        <w:t>5</w:t>
      </w:r>
      <w:r>
        <w:rPr>
          <w:rFonts w:ascii="Gill Sans MT" w:eastAsia="Gill Sans" w:hAnsi="Gill Sans MT" w:cs="Gill Sans"/>
          <w:sz w:val="22"/>
          <w:szCs w:val="22"/>
        </w:rPr>
        <w:t>.</w:t>
      </w:r>
    </w:p>
    <w:p w:rsidR="002F5534" w:rsidRPr="009E1EAE" w:rsidRDefault="00892FEA">
      <w:pPr>
        <w:jc w:val="both"/>
        <w:rPr>
          <w:rFonts w:ascii="Gill Sans MT" w:eastAsia="Gill Sans" w:hAnsi="Gill Sans MT" w:cs="Gill Sans"/>
          <w:sz w:val="22"/>
          <w:szCs w:val="22"/>
        </w:rPr>
      </w:pPr>
      <w:hyperlink r:id="rId9" w:history="1">
        <w:r w:rsidR="002F5534" w:rsidRPr="008B25C0">
          <w:rPr>
            <w:rStyle w:val="Hipervnculo"/>
            <w:rFonts w:ascii="Gill Sans MT" w:eastAsia="Gill Sans" w:hAnsi="Gill Sans MT" w:cs="Gill Sans"/>
            <w:sz w:val="22"/>
            <w:szCs w:val="22"/>
          </w:rPr>
          <w:t>Texto íntegro del pre-anuncio</w:t>
        </w:r>
      </w:hyperlink>
      <w:r w:rsidR="002F5534">
        <w:rPr>
          <w:rFonts w:ascii="Gill Sans MT" w:eastAsia="Gill Sans" w:hAnsi="Gill Sans MT" w:cs="Gill Sans"/>
          <w:sz w:val="22"/>
          <w:szCs w:val="22"/>
        </w:rPr>
        <w:t>.</w:t>
      </w:r>
    </w:p>
    <w:sectPr w:rsidR="002F5534" w:rsidRPr="009E1EA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65" w:rsidRDefault="005245C8">
      <w:r>
        <w:separator/>
      </w:r>
    </w:p>
  </w:endnote>
  <w:endnote w:type="continuationSeparator" w:id="0">
    <w:p w:rsidR="00425565" w:rsidRDefault="0052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6D" w:rsidRPr="00977709" w:rsidRDefault="00242F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Gill Sans MT" w:hAnsi="Gill Sans MT"/>
        <w:color w:val="000000"/>
      </w:rPr>
    </w:pPr>
  </w:p>
  <w:tbl>
    <w:tblPr>
      <w:tblStyle w:val="a1"/>
      <w:tblW w:w="8473" w:type="dxa"/>
      <w:tblInd w:w="108" w:type="dxa"/>
      <w:tblBorders>
        <w:top w:val="single" w:sz="24" w:space="0" w:color="999999"/>
      </w:tblBorders>
      <w:tblLayout w:type="fixed"/>
      <w:tblLook w:val="0000" w:firstRow="0" w:lastRow="0" w:firstColumn="0" w:lastColumn="0" w:noHBand="0" w:noVBand="0"/>
    </w:tblPr>
    <w:tblGrid>
      <w:gridCol w:w="8473"/>
    </w:tblGrid>
    <w:tr w:rsidR="00242F6D" w:rsidRPr="00977709">
      <w:trPr>
        <w:trHeight w:val="240"/>
      </w:trPr>
      <w:tc>
        <w:tcPr>
          <w:tcW w:w="8473" w:type="dxa"/>
          <w:tcBorders>
            <w:top w:val="single" w:sz="24" w:space="0" w:color="999999"/>
          </w:tcBorders>
        </w:tcPr>
        <w:p w:rsidR="00242F6D" w:rsidRPr="00977709" w:rsidRDefault="00892F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ill Sans MT" w:eastAsia="Gill Sans" w:hAnsi="Gill Sans MT" w:cs="Gill Sans"/>
              <w:color w:val="999999"/>
              <w:sz w:val="18"/>
              <w:szCs w:val="18"/>
            </w:rPr>
          </w:pPr>
          <w:hyperlink r:id="rId1">
            <w:r w:rsidR="005245C8" w:rsidRPr="00977709">
              <w:rPr>
                <w:rFonts w:ascii="Gill Sans MT" w:eastAsia="Gill Sans" w:hAnsi="Gill Sans MT" w:cs="Gill Sans"/>
                <w:color w:val="1155CC"/>
                <w:sz w:val="18"/>
                <w:szCs w:val="18"/>
                <w:u w:val="single"/>
              </w:rPr>
              <w:t>www.idipaz.es</w:t>
            </w:r>
          </w:hyperlink>
        </w:p>
        <w:p w:rsidR="00242F6D" w:rsidRPr="00977709" w:rsidRDefault="00524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Gill Sans MT" w:eastAsia="Gill Sans" w:hAnsi="Gill Sans MT" w:cs="Gill Sans"/>
              <w:color w:val="999999"/>
              <w:sz w:val="18"/>
              <w:szCs w:val="18"/>
            </w:rPr>
          </w:pPr>
          <w:r w:rsidRPr="00977709">
            <w:rPr>
              <w:rFonts w:ascii="Gill Sans MT" w:eastAsia="Gill Sans" w:hAnsi="Gill Sans MT" w:cs="Gill Sans"/>
              <w:color w:val="999999"/>
              <w:sz w:val="18"/>
              <w:szCs w:val="18"/>
            </w:rPr>
            <w:fldChar w:fldCharType="begin"/>
          </w:r>
          <w:r w:rsidRPr="00977709">
            <w:rPr>
              <w:rFonts w:ascii="Gill Sans MT" w:eastAsia="Gill Sans" w:hAnsi="Gill Sans MT" w:cs="Gill Sans"/>
              <w:color w:val="999999"/>
              <w:sz w:val="18"/>
              <w:szCs w:val="18"/>
            </w:rPr>
            <w:instrText>PAGE</w:instrText>
          </w:r>
          <w:r w:rsidRPr="00977709">
            <w:rPr>
              <w:rFonts w:ascii="Gill Sans MT" w:eastAsia="Gill Sans" w:hAnsi="Gill Sans MT" w:cs="Gill Sans"/>
              <w:color w:val="999999"/>
              <w:sz w:val="18"/>
              <w:szCs w:val="18"/>
            </w:rPr>
            <w:fldChar w:fldCharType="separate"/>
          </w:r>
          <w:r w:rsidR="00892FEA">
            <w:rPr>
              <w:rFonts w:ascii="Gill Sans MT" w:eastAsia="Gill Sans" w:hAnsi="Gill Sans MT" w:cs="Gill Sans"/>
              <w:noProof/>
              <w:color w:val="999999"/>
              <w:sz w:val="18"/>
              <w:szCs w:val="18"/>
            </w:rPr>
            <w:t>2</w:t>
          </w:r>
          <w:r w:rsidRPr="00977709">
            <w:rPr>
              <w:rFonts w:ascii="Gill Sans MT" w:eastAsia="Gill Sans" w:hAnsi="Gill Sans MT" w:cs="Gill Sans"/>
              <w:color w:val="999999"/>
              <w:sz w:val="18"/>
              <w:szCs w:val="18"/>
            </w:rPr>
            <w:fldChar w:fldCharType="end"/>
          </w:r>
        </w:p>
      </w:tc>
    </w:tr>
  </w:tbl>
  <w:p w:rsidR="00242F6D" w:rsidRPr="00977709" w:rsidRDefault="00242F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ill Sans MT" w:hAnsi="Gill Sans MT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65" w:rsidRDefault="005245C8">
      <w:r>
        <w:separator/>
      </w:r>
    </w:p>
  </w:footnote>
  <w:footnote w:type="continuationSeparator" w:id="0">
    <w:p w:rsidR="00425565" w:rsidRDefault="00524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6D" w:rsidRPr="009E1EAE" w:rsidRDefault="00242F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Gill Sans MT" w:eastAsia="Gill Sans" w:hAnsi="Gill Sans MT" w:cs="Gill Sans"/>
        <w:sz w:val="22"/>
        <w:szCs w:val="22"/>
      </w:rPr>
    </w:pPr>
  </w:p>
  <w:tbl>
    <w:tblPr>
      <w:tblStyle w:val="a0"/>
      <w:tblW w:w="8504" w:type="dxa"/>
      <w:tblInd w:w="0" w:type="dxa"/>
      <w:tblBorders>
        <w:insideV w:val="single" w:sz="36" w:space="0" w:color="999999"/>
      </w:tblBorders>
      <w:tblLayout w:type="fixed"/>
      <w:tblLook w:val="0000" w:firstRow="0" w:lastRow="0" w:firstColumn="0" w:lastColumn="0" w:noHBand="0" w:noVBand="0"/>
    </w:tblPr>
    <w:tblGrid>
      <w:gridCol w:w="1725"/>
      <w:gridCol w:w="5105"/>
      <w:gridCol w:w="1674"/>
    </w:tblGrid>
    <w:tr w:rsidR="00242F6D" w:rsidRPr="009E1EAE">
      <w:trPr>
        <w:trHeight w:val="700"/>
      </w:trPr>
      <w:tc>
        <w:tcPr>
          <w:tcW w:w="1725" w:type="dxa"/>
        </w:tcPr>
        <w:p w:rsidR="00242F6D" w:rsidRPr="009E1EAE" w:rsidRDefault="00524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000000"/>
            </w:rPr>
          </w:pPr>
          <w:r w:rsidRPr="009E1EAE">
            <w:rPr>
              <w:rFonts w:ascii="Gill Sans MT" w:eastAsia="Gill Sans" w:hAnsi="Gill Sans MT" w:cs="Gill Sans"/>
              <w:noProof/>
              <w:color w:val="000000"/>
            </w:rPr>
            <w:drawing>
              <wp:inline distT="0" distB="0" distL="0" distR="0">
                <wp:extent cx="866775" cy="447675"/>
                <wp:effectExtent l="0" t="0" r="0" b="0"/>
                <wp:docPr id="3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tcBorders>
            <w:right w:val="single" w:sz="4" w:space="0" w:color="FFFFFF"/>
          </w:tcBorders>
          <w:vAlign w:val="center"/>
        </w:tcPr>
        <w:p w:rsidR="00242F6D" w:rsidRPr="009E1EAE" w:rsidRDefault="00524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999999"/>
              <w:sz w:val="16"/>
              <w:szCs w:val="16"/>
            </w:rPr>
          </w:pPr>
          <w:r w:rsidRPr="009E1EAE">
            <w:rPr>
              <w:rFonts w:ascii="Gill Sans MT" w:eastAsia="Gill Sans" w:hAnsi="Gill Sans MT" w:cs="Gill Sans"/>
              <w:color w:val="999999"/>
              <w:sz w:val="16"/>
              <w:szCs w:val="16"/>
            </w:rPr>
            <w:t>Hospital Universitario La Paz</w:t>
          </w:r>
        </w:p>
        <w:p w:rsidR="00242F6D" w:rsidRPr="009E1EAE" w:rsidRDefault="00524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999999"/>
              <w:sz w:val="16"/>
              <w:szCs w:val="16"/>
            </w:rPr>
          </w:pPr>
          <w:r w:rsidRPr="009E1EAE">
            <w:rPr>
              <w:rFonts w:ascii="Gill Sans MT" w:eastAsia="Gill Sans" w:hAnsi="Gill Sans MT" w:cs="Gill Sans"/>
              <w:color w:val="999999"/>
              <w:sz w:val="16"/>
              <w:szCs w:val="16"/>
            </w:rPr>
            <w:t>Paseo de La Castellana, 261</w:t>
          </w:r>
        </w:p>
        <w:p w:rsidR="00242F6D" w:rsidRPr="009E1EAE" w:rsidRDefault="00524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999999"/>
              <w:sz w:val="16"/>
              <w:szCs w:val="16"/>
            </w:rPr>
          </w:pPr>
          <w:r w:rsidRPr="009E1EAE">
            <w:rPr>
              <w:rFonts w:ascii="Gill Sans MT" w:eastAsia="Gill Sans" w:hAnsi="Gill Sans MT" w:cs="Gill Sans"/>
              <w:color w:val="999999"/>
              <w:sz w:val="16"/>
              <w:szCs w:val="16"/>
            </w:rPr>
            <w:t>Edificio Norte, 4ªPlanta</w:t>
          </w:r>
        </w:p>
        <w:p w:rsidR="00242F6D" w:rsidRPr="009E1EAE" w:rsidRDefault="00524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000000"/>
              <w:sz w:val="20"/>
              <w:szCs w:val="20"/>
            </w:rPr>
          </w:pPr>
          <w:r w:rsidRPr="009E1EAE">
            <w:rPr>
              <w:rFonts w:ascii="Gill Sans MT" w:eastAsia="Gill Sans" w:hAnsi="Gill Sans MT" w:cs="Gill Sans"/>
              <w:color w:val="999999"/>
              <w:sz w:val="16"/>
              <w:szCs w:val="16"/>
            </w:rPr>
            <w:t>28046 - Madrid</w:t>
          </w:r>
        </w:p>
      </w:tc>
      <w:tc>
        <w:tcPr>
          <w:tcW w:w="1674" w:type="dxa"/>
          <w:tcBorders>
            <w:left w:val="single" w:sz="4" w:space="0" w:color="FFFFFF"/>
          </w:tcBorders>
          <w:vAlign w:val="center"/>
        </w:tcPr>
        <w:p w:rsidR="00242F6D" w:rsidRPr="009E1EAE" w:rsidRDefault="00524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ill Sans MT" w:eastAsia="Gill Sans" w:hAnsi="Gill Sans MT" w:cs="Gill Sans"/>
              <w:color w:val="000000"/>
              <w:sz w:val="20"/>
              <w:szCs w:val="20"/>
            </w:rPr>
          </w:pPr>
          <w:r w:rsidRPr="009E1EAE">
            <w:rPr>
              <w:rFonts w:ascii="Gill Sans MT" w:hAnsi="Gill Sans MT"/>
              <w:noProof/>
              <w:color w:val="000000"/>
            </w:rPr>
            <w:drawing>
              <wp:inline distT="0" distB="0" distL="114300" distR="114300">
                <wp:extent cx="541655" cy="54165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655" cy="541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42F6D" w:rsidRPr="009E1EAE" w:rsidRDefault="00242F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ill Sans MT" w:hAnsi="Gill Sans MT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D52"/>
    <w:multiLevelType w:val="hybridMultilevel"/>
    <w:tmpl w:val="D9C864A4"/>
    <w:lvl w:ilvl="0" w:tplc="7868C33E">
      <w:numFmt w:val="bullet"/>
      <w:lvlText w:val="-"/>
      <w:lvlJc w:val="left"/>
      <w:pPr>
        <w:ind w:left="720" w:hanging="360"/>
      </w:pPr>
      <w:rPr>
        <w:rFonts w:ascii="Gill Sans MT" w:eastAsia="Gill Sans" w:hAnsi="Gill Sans MT" w:cs="Gill Sans" w:hint="default"/>
      </w:rPr>
    </w:lvl>
    <w:lvl w:ilvl="1" w:tplc="81725C58">
      <w:numFmt w:val="bullet"/>
      <w:lvlText w:val=""/>
      <w:lvlJc w:val="left"/>
      <w:pPr>
        <w:ind w:left="1440" w:hanging="360"/>
      </w:pPr>
      <w:rPr>
        <w:rFonts w:ascii="Symbol" w:eastAsia="Gill Sans" w:hAnsi="Symbol" w:cs="Gill San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764E"/>
    <w:multiLevelType w:val="multilevel"/>
    <w:tmpl w:val="CE68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F5359"/>
    <w:multiLevelType w:val="multilevel"/>
    <w:tmpl w:val="84B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43307"/>
    <w:multiLevelType w:val="hybridMultilevel"/>
    <w:tmpl w:val="9E1638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937A6"/>
    <w:multiLevelType w:val="hybridMultilevel"/>
    <w:tmpl w:val="1AD84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87468"/>
    <w:multiLevelType w:val="hybridMultilevel"/>
    <w:tmpl w:val="28D614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A6ED1"/>
    <w:multiLevelType w:val="hybridMultilevel"/>
    <w:tmpl w:val="41282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41B0C"/>
    <w:multiLevelType w:val="hybridMultilevel"/>
    <w:tmpl w:val="B04244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C2DA0"/>
    <w:multiLevelType w:val="multilevel"/>
    <w:tmpl w:val="0B70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358DE"/>
    <w:multiLevelType w:val="hybridMultilevel"/>
    <w:tmpl w:val="248ED2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6D"/>
    <w:rsid w:val="000243FD"/>
    <w:rsid w:val="000A21D8"/>
    <w:rsid w:val="00195A1F"/>
    <w:rsid w:val="001E2FEE"/>
    <w:rsid w:val="00242F6D"/>
    <w:rsid w:val="002D75BF"/>
    <w:rsid w:val="002F5534"/>
    <w:rsid w:val="0034791F"/>
    <w:rsid w:val="00425565"/>
    <w:rsid w:val="00436A60"/>
    <w:rsid w:val="005029C0"/>
    <w:rsid w:val="005245C8"/>
    <w:rsid w:val="00801F77"/>
    <w:rsid w:val="00807F3D"/>
    <w:rsid w:val="00892FEA"/>
    <w:rsid w:val="008B25C0"/>
    <w:rsid w:val="0091183E"/>
    <w:rsid w:val="00911EE9"/>
    <w:rsid w:val="00915FE7"/>
    <w:rsid w:val="00977709"/>
    <w:rsid w:val="0098663E"/>
    <w:rsid w:val="00993B51"/>
    <w:rsid w:val="009A1705"/>
    <w:rsid w:val="009C45A1"/>
    <w:rsid w:val="009E1EAE"/>
    <w:rsid w:val="00AA575B"/>
    <w:rsid w:val="00AB27FA"/>
    <w:rsid w:val="00AF4E8D"/>
    <w:rsid w:val="00B35BAD"/>
    <w:rsid w:val="00BE416D"/>
    <w:rsid w:val="00D272AF"/>
    <w:rsid w:val="00E569FE"/>
    <w:rsid w:val="00E6118B"/>
    <w:rsid w:val="00EF2618"/>
    <w:rsid w:val="00F203A4"/>
    <w:rsid w:val="00FD0717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07B2F-3D94-4585-9FB1-DEA874D2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color w:val="4F81BD"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807F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75B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1E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E"/>
  </w:style>
  <w:style w:type="paragraph" w:styleId="Piedepgina">
    <w:name w:val="footer"/>
    <w:basedOn w:val="Normal"/>
    <w:link w:val="PiedepginaCar"/>
    <w:uiPriority w:val="99"/>
    <w:unhideWhenUsed/>
    <w:rsid w:val="009E1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EAE"/>
  </w:style>
  <w:style w:type="paragraph" w:styleId="NormalWeb">
    <w:name w:val="Normal (Web)"/>
    <w:basedOn w:val="Normal"/>
    <w:uiPriority w:val="99"/>
    <w:semiHidden/>
    <w:unhideWhenUsed/>
    <w:rsid w:val="00E569FE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E569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F4E8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9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rl.europa.eu/RegData/docs_autres_institutions/commission_europeenne/com/2025/0097/COM_COM(2025)0097_E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ra4health.eu/calls/docs/ERA4Health_JTC7_%20IICS_Trials4Health_Pre-announcement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ipaz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fundacionhulp</dc:creator>
  <cp:lastModifiedBy>fundacionhulp</cp:lastModifiedBy>
  <cp:revision>7</cp:revision>
  <dcterms:created xsi:type="dcterms:W3CDTF">2024-10-23T07:52:00Z</dcterms:created>
  <dcterms:modified xsi:type="dcterms:W3CDTF">2025-10-14T10:36:00Z</dcterms:modified>
</cp:coreProperties>
</file>